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4B0A1C" w:rsidRPr="00E572CA" w:rsidRDefault="004B0A1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D138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</w:t>
            </w:r>
            <w:r w:rsidR="00D26D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ЮДЖЕТНЫЙ</w:t>
            </w:r>
            <w:r w:rsidR="00D138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УЧЕТ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147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E572CA" w:rsidRP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6942B6"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C9F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EE47F4" w:rsidRDefault="00EE47F4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7E1391" w:rsidRDefault="002264EC" w:rsidP="00226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настоящее время присутствует острый дефицит специалистов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экономических специальностей для совершения хозяйственных операций и корректного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отражения их в бюджетном уч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и отч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тности бюджетных организаций. </w:t>
            </w:r>
            <w:proofErr w:type="gramStart"/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квалификационных требованиях для замещения должностей государственной 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службы указаны общехозяйственные квалификации (экономист,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бухгалтер, финансист). </w:t>
            </w:r>
            <w:proofErr w:type="gramEnd"/>
          </w:p>
          <w:p w:rsidR="002264EC" w:rsidRPr="002264EC" w:rsidRDefault="002264EC" w:rsidP="00226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Однако</w:t>
            </w:r>
            <w:r w:rsidR="007E1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приступая к должностным обязанностям специалисты, 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имеющие дополнительного профессионального образования по бюджетному уч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сталкиваются с серь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зными проблемами в процессе работы, т.к. бюджетный уч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имеет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существенные отличия от бухгалтерского уч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коммерческих организаций. Ведение</w:t>
            </w:r>
            <w:r w:rsidR="00EE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бюджетного уч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предусматривает отражение хозяйственных операций на счетах</w:t>
            </w:r>
            <w:r w:rsidR="00EE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бюджетного учета, ведение регистров бюджетного уч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принятие бюджетных</w:t>
            </w:r>
            <w:r w:rsidR="00EE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обязательств, составление бюджетной отч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тности, бюджетирование и планирование.</w:t>
            </w:r>
          </w:p>
          <w:p w:rsidR="002264EC" w:rsidRPr="002264EC" w:rsidRDefault="002264EC" w:rsidP="00226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Практика показывает, что в данное время прослеживается довольно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принципиальная</w:t>
            </w:r>
            <w:r w:rsidR="00EE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позиция органов, осуществляющих финансовый контроль в бюджетной сфере, по</w:t>
            </w:r>
            <w:r w:rsidR="00EE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составлению протоколов об административных правонарушениях на физических и</w:t>
            </w:r>
            <w:r w:rsidR="00EE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 лиц, допустивших нарушения при ведении бюджетного уч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по со ст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</w:t>
            </w:r>
            <w:r w:rsidR="00EE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КОАП РФ, а также по дисквалификации, </w:t>
            </w:r>
            <w:proofErr w:type="gramStart"/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т.е. лишении</w:t>
            </w:r>
            <w:proofErr w:type="gramEnd"/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права замещать должности</w:t>
            </w:r>
            <w:r w:rsidR="00EE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и муниципальной службы по ст. 3.11 КОАП РФ.</w:t>
            </w:r>
          </w:p>
          <w:p w:rsidR="00E572CA" w:rsidRDefault="002264EC" w:rsidP="00226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r w:rsidR="00F90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это определяет необходимость получения дополнительного профессионального</w:t>
            </w:r>
            <w:r w:rsidR="00EE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специалистов бюджетной сферы.</w:t>
            </w:r>
          </w:p>
          <w:p w:rsidR="007E1391" w:rsidRPr="007E1391" w:rsidRDefault="007E1391" w:rsidP="00226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Поэтому необходимо обучаться не только тем, кто не имеет специального образования в сфере как бухучета, так и бюджетного учета, но и тем, кто имеет высшее профессиональное бухгалтерское образование.</w:t>
            </w:r>
          </w:p>
          <w:p w:rsidR="007E1391" w:rsidRPr="007E1391" w:rsidRDefault="007E1391" w:rsidP="00226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391" w:rsidRDefault="007E1391" w:rsidP="00226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Обучаться на бухгалтера, независимо от количества академических часов, вправе любые граждане, не важно, какое именно профессиональное образова</w:t>
            </w:r>
            <w:r w:rsidR="00AA5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они </w:t>
            </w:r>
            <w:proofErr w:type="gramStart"/>
            <w:r w:rsidR="00AA5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 и насколько далеки</w:t>
            </w:r>
            <w:proofErr w:type="gramEnd"/>
            <w:r w:rsidRPr="007E1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E1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бухучета. Все ограничения на при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7E1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слушателей отменены законодательством об образовании. Установлено только одно: нужно иметь ЛЮБОЕ законченное профессиональное образование.</w:t>
            </w:r>
          </w:p>
          <w:p w:rsidR="007E1391" w:rsidRDefault="007E1391" w:rsidP="00226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391" w:rsidRDefault="007E1391" w:rsidP="00226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Профессиональным квалифицированным бухгалтерам бюджетной сферы достаточно периодически проходить 40-часовые курсы повышения квалификации. </w:t>
            </w:r>
          </w:p>
          <w:p w:rsidR="007E1391" w:rsidRPr="007E1391" w:rsidRDefault="007E1391" w:rsidP="00226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Бухгалтерам с высшим профильным образованием подойдут 72-, 120-, 144-часовые курсы повышения квалификации. </w:t>
            </w:r>
          </w:p>
          <w:p w:rsidR="007E1391" w:rsidRPr="002264EC" w:rsidRDefault="007E1391" w:rsidP="00226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260 часов достаточна для присвоения квалификации. Лицам, никогда не работавшим в качестве бухгалтера бюджетной организации, бухгалтерам учреждений органов власти, а также лицам, претендующим на должность главного бухгалтера, рекомендуется программа 520 часов.</w:t>
            </w:r>
          </w:p>
          <w:p w:rsidR="002264EC" w:rsidRDefault="002264EC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EE47F4" w:rsidRDefault="00EE47F4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974385" w:rsidRPr="001139AE" w:rsidRDefault="00823577" w:rsidP="0082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139A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Дополнительная профессиональная образовательная программа «Бюджетный уч</w:t>
            </w:r>
            <w:r w:rsidR="00974385" w:rsidRPr="001139A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ё</w:t>
            </w:r>
            <w:r w:rsidRPr="001139A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т» разработана в соответствии с требованиями</w:t>
            </w:r>
            <w:r w:rsidR="00974385" w:rsidRPr="001139A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974385" w:rsidRPr="00974385" w:rsidRDefault="00823577" w:rsidP="0097438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385">
              <w:rPr>
                <w:rFonts w:ascii="Arial" w:hAnsi="Arial" w:cs="Arial"/>
                <w:sz w:val="24"/>
                <w:szCs w:val="24"/>
              </w:rPr>
              <w:t xml:space="preserve">Федерального закона Российской Федерации от 29 декабря 2012 года № 273-ФЗ «Об образовании в Российской Федерации», </w:t>
            </w:r>
          </w:p>
          <w:p w:rsidR="00974385" w:rsidRPr="00974385" w:rsidRDefault="00823577" w:rsidP="0097438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385">
              <w:rPr>
                <w:rFonts w:ascii="Arial" w:hAnsi="Arial" w:cs="Arial"/>
                <w:sz w:val="24"/>
                <w:szCs w:val="24"/>
              </w:rPr>
              <w:t>Федерального закона Российской Федерации от 06 декабря 2011 года № 402-ФЗ «О бухгалтерском уч</w:t>
            </w:r>
            <w:r w:rsidR="00974385">
              <w:rPr>
                <w:rFonts w:ascii="Arial" w:hAnsi="Arial" w:cs="Arial"/>
                <w:sz w:val="24"/>
                <w:szCs w:val="24"/>
              </w:rPr>
              <w:t>ё</w:t>
            </w:r>
            <w:r w:rsidRPr="00974385">
              <w:rPr>
                <w:rFonts w:ascii="Arial" w:hAnsi="Arial" w:cs="Arial"/>
                <w:sz w:val="24"/>
                <w:szCs w:val="24"/>
              </w:rPr>
              <w:t xml:space="preserve">те», </w:t>
            </w:r>
          </w:p>
          <w:p w:rsidR="00974385" w:rsidRPr="00974385" w:rsidRDefault="00823577" w:rsidP="0097438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385">
              <w:rPr>
                <w:rFonts w:ascii="Arial" w:hAnsi="Arial" w:cs="Arial"/>
                <w:sz w:val="24"/>
                <w:szCs w:val="24"/>
              </w:rPr>
              <w:t xml:space="preserve">приказа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программам», </w:t>
            </w:r>
          </w:p>
          <w:p w:rsidR="00974385" w:rsidRPr="00974385" w:rsidRDefault="00823577" w:rsidP="0097438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385">
              <w:rPr>
                <w:rFonts w:ascii="Arial" w:hAnsi="Arial" w:cs="Arial"/>
                <w:sz w:val="24"/>
                <w:szCs w:val="24"/>
              </w:rPr>
              <w:t>приказа Министерства Финансов Российской Федерации от 06 декабря 2010 года № 162н «Об утверждении Плана счетов бюджетного уч</w:t>
            </w:r>
            <w:r w:rsidR="00974385">
              <w:rPr>
                <w:rFonts w:ascii="Arial" w:hAnsi="Arial" w:cs="Arial"/>
                <w:sz w:val="24"/>
                <w:szCs w:val="24"/>
              </w:rPr>
              <w:t>ё</w:t>
            </w:r>
            <w:r w:rsidRPr="00974385">
              <w:rPr>
                <w:rFonts w:ascii="Arial" w:hAnsi="Arial" w:cs="Arial"/>
                <w:sz w:val="24"/>
                <w:szCs w:val="24"/>
              </w:rPr>
              <w:t xml:space="preserve">та и Инструкции по его применению», </w:t>
            </w:r>
          </w:p>
          <w:p w:rsidR="00974385" w:rsidRPr="00974385" w:rsidRDefault="00823577" w:rsidP="0097438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385">
              <w:rPr>
                <w:rFonts w:ascii="Arial" w:hAnsi="Arial" w:cs="Arial"/>
                <w:sz w:val="24"/>
                <w:szCs w:val="24"/>
              </w:rPr>
              <w:t>приказа Министерства Финансов Российской Федерации от 01 декабря 2010 года № 157н «Об утверждении Единого плана счетов бюджетного уч</w:t>
            </w:r>
            <w:r w:rsidR="00974385">
              <w:rPr>
                <w:rFonts w:ascii="Arial" w:hAnsi="Arial" w:cs="Arial"/>
                <w:sz w:val="24"/>
                <w:szCs w:val="24"/>
              </w:rPr>
              <w:t>ё</w:t>
            </w:r>
            <w:r w:rsidRPr="00974385">
              <w:rPr>
                <w:rFonts w:ascii="Arial" w:hAnsi="Arial" w:cs="Arial"/>
                <w:sz w:val="24"/>
                <w:szCs w:val="24"/>
              </w:rPr>
              <w:t xml:space="preserve"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      </w:r>
          </w:p>
          <w:p w:rsidR="00974385" w:rsidRPr="00974385" w:rsidRDefault="00823577" w:rsidP="0097438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385">
              <w:rPr>
                <w:rFonts w:ascii="Arial" w:hAnsi="Arial" w:cs="Arial"/>
                <w:sz w:val="24"/>
                <w:szCs w:val="24"/>
              </w:rPr>
              <w:t>приказа Министерства Финансов Российской Федерации от 30 марта 2015 года № 52н «Об утверждении форм первичных уч</w:t>
            </w:r>
            <w:r w:rsidR="00974385">
              <w:rPr>
                <w:rFonts w:ascii="Arial" w:hAnsi="Arial" w:cs="Arial"/>
                <w:sz w:val="24"/>
                <w:szCs w:val="24"/>
              </w:rPr>
              <w:t>ё</w:t>
            </w:r>
            <w:r w:rsidRPr="00974385">
              <w:rPr>
                <w:rFonts w:ascii="Arial" w:hAnsi="Arial" w:cs="Arial"/>
                <w:sz w:val="24"/>
                <w:szCs w:val="24"/>
              </w:rPr>
              <w:t>тных документов и регистров бухгалтерского уч</w:t>
            </w:r>
            <w:r w:rsidR="00974385">
              <w:rPr>
                <w:rFonts w:ascii="Arial" w:hAnsi="Arial" w:cs="Arial"/>
                <w:sz w:val="24"/>
                <w:szCs w:val="24"/>
              </w:rPr>
              <w:t>ё</w:t>
            </w:r>
            <w:r w:rsidRPr="00974385">
              <w:rPr>
                <w:rFonts w:ascii="Arial" w:hAnsi="Arial" w:cs="Arial"/>
                <w:sz w:val="24"/>
                <w:szCs w:val="24"/>
              </w:rPr>
              <w:t xml:space="preserve">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      </w:r>
            <w:r w:rsidRPr="00974385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(муниципальными) учреждениями, и Методических указаний по их применению», </w:t>
            </w:r>
          </w:p>
          <w:p w:rsidR="00974385" w:rsidRDefault="00823577" w:rsidP="0097438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385">
              <w:rPr>
                <w:rFonts w:ascii="Arial" w:hAnsi="Arial" w:cs="Arial"/>
                <w:sz w:val="24"/>
                <w:szCs w:val="24"/>
              </w:rPr>
              <w:t xml:space="preserve">бюджетным законодательством, </w:t>
            </w:r>
          </w:p>
          <w:p w:rsidR="00200F25" w:rsidRPr="00CC45F0" w:rsidRDefault="00823577" w:rsidP="00CC45F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  <w:r w:rsidRPr="00CC45F0">
              <w:rPr>
                <w:rFonts w:ascii="Arial" w:hAnsi="Arial" w:cs="Arial"/>
                <w:sz w:val="24"/>
                <w:szCs w:val="24"/>
              </w:rPr>
              <w:t>иными нормативными правовыми актами, регулирующими вопросы бюджетного уч</w:t>
            </w:r>
            <w:r w:rsidR="00974385" w:rsidRPr="00CC45F0">
              <w:rPr>
                <w:rFonts w:ascii="Arial" w:hAnsi="Arial" w:cs="Arial"/>
                <w:sz w:val="24"/>
                <w:szCs w:val="24"/>
              </w:rPr>
              <w:t>ё</w:t>
            </w:r>
            <w:r w:rsidRPr="00CC45F0">
              <w:rPr>
                <w:rFonts w:ascii="Arial" w:hAnsi="Arial" w:cs="Arial"/>
                <w:sz w:val="24"/>
                <w:szCs w:val="24"/>
              </w:rPr>
              <w:t>та.</w:t>
            </w:r>
          </w:p>
        </w:tc>
      </w:tr>
    </w:tbl>
    <w:p w:rsidR="00EA2E23" w:rsidRDefault="00EA2E23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B977E5" w:rsidRPr="00CA4CDA" w:rsidRDefault="00B977E5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A4CDA">
        <w:rPr>
          <w:rFonts w:ascii="Arial" w:eastAsiaTheme="minorHAnsi" w:hAnsi="Arial" w:cs="Arial"/>
          <w:sz w:val="24"/>
          <w:szCs w:val="24"/>
        </w:rPr>
        <w:t>приобретение слушателями курса новых знаний и компетенций в сфере б</w:t>
      </w:r>
      <w:r w:rsidR="00465477">
        <w:rPr>
          <w:rFonts w:ascii="Arial" w:eastAsiaTheme="minorHAnsi" w:hAnsi="Arial" w:cs="Arial"/>
          <w:sz w:val="24"/>
          <w:szCs w:val="24"/>
        </w:rPr>
        <w:t>юджетно</w:t>
      </w:r>
      <w:r w:rsidRPr="00CA4CDA">
        <w:rPr>
          <w:rFonts w:ascii="Arial" w:eastAsiaTheme="minorHAnsi" w:hAnsi="Arial" w:cs="Arial"/>
          <w:sz w:val="24"/>
          <w:szCs w:val="24"/>
        </w:rPr>
        <w:t>го учёта.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0B38F6" w:rsidRPr="00CA4CDA" w:rsidRDefault="000B38F6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996D54" w:rsidP="002D15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96D54">
        <w:rPr>
          <w:rFonts w:ascii="Arial" w:eastAsiaTheme="minorHAnsi" w:hAnsi="Arial" w:cs="Arial"/>
          <w:sz w:val="24"/>
          <w:szCs w:val="24"/>
        </w:rPr>
        <w:t xml:space="preserve">Программа курсов предназначена для </w:t>
      </w:r>
      <w:r w:rsidR="002D15C7" w:rsidRPr="002D15C7">
        <w:rPr>
          <w:rFonts w:ascii="Arial" w:eastAsiaTheme="minorHAnsi" w:hAnsi="Arial" w:cs="Arial"/>
          <w:sz w:val="24"/>
          <w:szCs w:val="24"/>
        </w:rPr>
        <w:t>служащих органов</w:t>
      </w:r>
      <w:r w:rsidR="002D15C7">
        <w:rPr>
          <w:rFonts w:ascii="Arial" w:eastAsiaTheme="minorHAnsi" w:hAnsi="Arial" w:cs="Arial"/>
          <w:sz w:val="24"/>
          <w:szCs w:val="24"/>
        </w:rPr>
        <w:t xml:space="preserve"> </w:t>
      </w:r>
      <w:r w:rsidR="002D15C7" w:rsidRPr="002D15C7">
        <w:rPr>
          <w:rFonts w:ascii="Arial" w:eastAsiaTheme="minorHAnsi" w:hAnsi="Arial" w:cs="Arial"/>
          <w:sz w:val="24"/>
          <w:szCs w:val="24"/>
        </w:rPr>
        <w:t>государственной власти, органов местного самоуправления, органов управления</w:t>
      </w:r>
      <w:r w:rsidR="002D15C7">
        <w:rPr>
          <w:rFonts w:ascii="Arial" w:eastAsiaTheme="minorHAnsi" w:hAnsi="Arial" w:cs="Arial"/>
          <w:sz w:val="24"/>
          <w:szCs w:val="24"/>
        </w:rPr>
        <w:t xml:space="preserve"> </w:t>
      </w:r>
      <w:r w:rsidR="002D15C7" w:rsidRPr="002D15C7">
        <w:rPr>
          <w:rFonts w:ascii="Arial" w:eastAsiaTheme="minorHAnsi" w:hAnsi="Arial" w:cs="Arial"/>
          <w:sz w:val="24"/>
          <w:szCs w:val="24"/>
        </w:rPr>
        <w:t>государственными внебюджетными фондами, государственной академии наук,</w:t>
      </w:r>
      <w:r w:rsidR="002D15C7">
        <w:rPr>
          <w:rFonts w:ascii="Arial" w:eastAsiaTheme="minorHAnsi" w:hAnsi="Arial" w:cs="Arial"/>
          <w:sz w:val="24"/>
          <w:szCs w:val="24"/>
        </w:rPr>
        <w:t xml:space="preserve"> </w:t>
      </w:r>
      <w:r w:rsidR="002D15C7" w:rsidRPr="002D15C7">
        <w:rPr>
          <w:rFonts w:ascii="Arial" w:eastAsiaTheme="minorHAnsi" w:hAnsi="Arial" w:cs="Arial"/>
          <w:sz w:val="24"/>
          <w:szCs w:val="24"/>
        </w:rPr>
        <w:t>финансовых органов, органов, осуществляющие кассовое обслуживание исполнения</w:t>
      </w:r>
      <w:r w:rsidR="002D15C7">
        <w:rPr>
          <w:rFonts w:ascii="Arial" w:eastAsiaTheme="minorHAnsi" w:hAnsi="Arial" w:cs="Arial"/>
          <w:sz w:val="24"/>
          <w:szCs w:val="24"/>
        </w:rPr>
        <w:t xml:space="preserve"> </w:t>
      </w:r>
      <w:r w:rsidR="002D15C7" w:rsidRPr="002D15C7">
        <w:rPr>
          <w:rFonts w:ascii="Arial" w:eastAsiaTheme="minorHAnsi" w:hAnsi="Arial" w:cs="Arial"/>
          <w:sz w:val="24"/>
          <w:szCs w:val="24"/>
        </w:rPr>
        <w:t>бюджетов, органов Федерального казначейства, сотрудников государственных</w:t>
      </w:r>
      <w:r w:rsidR="002D15C7">
        <w:rPr>
          <w:rFonts w:ascii="Arial" w:eastAsiaTheme="minorHAnsi" w:hAnsi="Arial" w:cs="Arial"/>
          <w:sz w:val="24"/>
          <w:szCs w:val="24"/>
        </w:rPr>
        <w:t xml:space="preserve"> </w:t>
      </w:r>
      <w:r w:rsidR="002D15C7" w:rsidRPr="002D15C7">
        <w:rPr>
          <w:rFonts w:ascii="Arial" w:eastAsiaTheme="minorHAnsi" w:hAnsi="Arial" w:cs="Arial"/>
          <w:sz w:val="24"/>
          <w:szCs w:val="24"/>
        </w:rPr>
        <w:t>(муниципальных) учреждений и иных юридических лиц, осуществляющие согласно</w:t>
      </w:r>
      <w:r w:rsidR="002D15C7">
        <w:rPr>
          <w:rFonts w:ascii="Arial" w:eastAsiaTheme="minorHAnsi" w:hAnsi="Arial" w:cs="Arial"/>
          <w:sz w:val="24"/>
          <w:szCs w:val="24"/>
        </w:rPr>
        <w:t xml:space="preserve"> </w:t>
      </w:r>
      <w:r w:rsidR="002D15C7" w:rsidRPr="002D15C7">
        <w:rPr>
          <w:rFonts w:ascii="Arial" w:eastAsiaTheme="minorHAnsi" w:hAnsi="Arial" w:cs="Arial"/>
          <w:sz w:val="24"/>
          <w:szCs w:val="24"/>
        </w:rPr>
        <w:t>законодательству Российской Федерации бюджетные полномочия получателя бюджетных</w:t>
      </w:r>
      <w:r w:rsidR="002D15C7">
        <w:rPr>
          <w:rFonts w:ascii="Arial" w:eastAsiaTheme="minorHAnsi" w:hAnsi="Arial" w:cs="Arial"/>
          <w:sz w:val="24"/>
          <w:szCs w:val="24"/>
        </w:rPr>
        <w:t xml:space="preserve"> </w:t>
      </w:r>
      <w:r w:rsidR="002D15C7" w:rsidRPr="002D15C7">
        <w:rPr>
          <w:rFonts w:ascii="Arial" w:eastAsiaTheme="minorHAnsi" w:hAnsi="Arial" w:cs="Arial"/>
          <w:sz w:val="24"/>
          <w:szCs w:val="24"/>
        </w:rPr>
        <w:t>средств.</w:t>
      </w:r>
    </w:p>
    <w:p w:rsidR="00996D54" w:rsidRDefault="00996D54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0B38F6" w:rsidRPr="00CA4CDA" w:rsidRDefault="000B38F6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 и практического задания, включающего в себя составление бухгалтерских документов.</w:t>
      </w:r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D01AAD" w:rsidRDefault="00B065A9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курса Вам поможет демо-версия. </w:t>
      </w:r>
      <w:r w:rsidR="00D01AAD"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Вход в демо-версию курса: </w:t>
      </w:r>
      <w:hyperlink r:id="rId8" w:history="1">
        <w:r w:rsidR="00182608" w:rsidRPr="0019030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https://specialitet.ru/do-demo/880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0497" w:rsidRDefault="00170497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170497" w:rsidRDefault="000B38F6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EF4A30" w:rsidRDefault="00170497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F4A30">
        <w:rPr>
          <w:rFonts w:ascii="Arial" w:hAnsi="Arial" w:cs="Arial"/>
          <w:sz w:val="24"/>
          <w:szCs w:val="24"/>
        </w:rPr>
        <w:t xml:space="preserve"> Удостоверение о повышении квалификации или Д</w:t>
      </w:r>
      <w:r w:rsidRPr="00EF4A30">
        <w:rPr>
          <w:rFonts w:ascii="Arial" w:hAnsi="Arial" w:cs="Arial"/>
          <w:bCs/>
          <w:sz w:val="24"/>
          <w:szCs w:val="24"/>
        </w:rPr>
        <w:t>иплом о профессиональной переподготовке государственного образца</w:t>
      </w:r>
      <w:r w:rsidRPr="00EF4A30">
        <w:rPr>
          <w:rFonts w:ascii="Arial" w:hAnsi="Arial" w:cs="Arial"/>
          <w:sz w:val="24"/>
          <w:szCs w:val="24"/>
        </w:rPr>
        <w:t xml:space="preserve"> </w:t>
      </w:r>
      <w:r w:rsidR="003E5FD4" w:rsidRPr="00EF4A30">
        <w:rPr>
          <w:rFonts w:ascii="Arial" w:hAnsi="Arial" w:cs="Arial"/>
          <w:sz w:val="24"/>
          <w:szCs w:val="24"/>
        </w:rPr>
        <w:t>– в зависимости от выбранного курса</w:t>
      </w:r>
      <w:r w:rsidRPr="00EF4A30">
        <w:rPr>
          <w:rFonts w:ascii="Arial" w:hAnsi="Arial" w:cs="Arial"/>
          <w:sz w:val="24"/>
          <w:szCs w:val="24"/>
        </w:rPr>
        <w:t>;</w:t>
      </w:r>
    </w:p>
    <w:p w:rsidR="00F72DA6" w:rsidRPr="00F72DA6" w:rsidRDefault="00F72DA6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14"/>
          <w:szCs w:val="24"/>
          <w:lang w:eastAsia="ru-RU"/>
        </w:rPr>
      </w:pPr>
    </w:p>
    <w:p w:rsidR="00C22030" w:rsidRPr="00EF4A30" w:rsidRDefault="00170497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F4A30">
        <w:rPr>
          <w:rFonts w:ascii="Arial" w:hAnsi="Arial" w:cs="Arial"/>
          <w:sz w:val="24"/>
          <w:szCs w:val="24"/>
        </w:rPr>
        <w:t xml:space="preserve"> право на </w:t>
      </w:r>
      <w:r w:rsidR="00A27A5D">
        <w:rPr>
          <w:rFonts w:ascii="Arial" w:hAnsi="Arial" w:cs="Arial"/>
          <w:sz w:val="24"/>
          <w:szCs w:val="24"/>
        </w:rPr>
        <w:t xml:space="preserve">письменные </w:t>
      </w:r>
      <w:r w:rsidRPr="00EF4A30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EF4A30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A27A5D">
        <w:rPr>
          <w:rFonts w:ascii="Arial" w:hAnsi="Arial" w:cs="Arial"/>
          <w:sz w:val="24"/>
          <w:szCs w:val="24"/>
        </w:rPr>
        <w:t xml:space="preserve">и ситуациям из своей практики </w:t>
      </w:r>
      <w:r w:rsidR="00B322AE" w:rsidRPr="00EF4A30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Pr="00EF4A30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6135BA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нт, подтверждающий соответствие бухгалтера занимаемой должности</w:t>
      </w:r>
      <w:r w:rsidR="0019760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F96BCB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 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бухгалтера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итоговой аттестации </w:t>
      </w:r>
      <w:r w:rsidR="006E4C19" w:rsidRPr="006E4C1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proofErr w:type="spellStart"/>
      <w:r w:rsidR="006E4C19" w:rsidRPr="006E4C19">
        <w:rPr>
          <w:rFonts w:ascii="Arial" w:eastAsia="Times New Roman" w:hAnsi="Arial" w:cs="Arial"/>
          <w:sz w:val="24"/>
          <w:szCs w:val="24"/>
          <w:lang w:eastAsia="ru-RU"/>
        </w:rPr>
        <w:t>профстандартами</w:t>
      </w:r>
      <w:proofErr w:type="spellEnd"/>
      <w:r w:rsidR="006E4C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присваивается </w:t>
      </w:r>
      <w:r w:rsidR="00D01AAD"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4C19" w:rsidRPr="006E4C1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«Бухгалтер бюджетной сферы»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с правом </w:t>
      </w:r>
      <w:r w:rsidR="006E4C19" w:rsidRPr="006E4C19">
        <w:rPr>
          <w:rFonts w:ascii="Arial" w:eastAsia="Times New Roman" w:hAnsi="Arial" w:cs="Arial"/>
          <w:sz w:val="24"/>
          <w:szCs w:val="24"/>
          <w:lang w:eastAsia="ru-RU"/>
        </w:rPr>
        <w:t>осуществлять профессиональную бухгалтерскую деятельность.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535685">
        <w:rPr>
          <w:rFonts w:ascii="Arial" w:eastAsia="Times New Roman" w:hAnsi="Arial" w:cs="Arial"/>
          <w:b/>
          <w:sz w:val="24"/>
          <w:szCs w:val="24"/>
          <w:lang w:val="en-US"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A27A5D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535685" w:rsidRDefault="00535685" w:rsidP="0053568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2" w:name="_GoBack"/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bookmarkEnd w:id="2"/>
    <w:p w:rsidR="000B38F6" w:rsidRPr="00535685" w:rsidRDefault="000B38F6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535685" w:rsidRPr="00535685" w:rsidRDefault="00535685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</w:t>
      </w:r>
      <w:proofErr w:type="spell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9" w:history="1">
        <w:r w:rsidR="003E11B8" w:rsidRPr="004E7D7D">
          <w:rPr>
            <w:rStyle w:val="a3"/>
            <w:rFonts w:ascii="Arial" w:hAnsi="Arial" w:cs="Arial"/>
            <w:sz w:val="24"/>
            <w:szCs w:val="24"/>
            <w:lang w:val="en-US"/>
          </w:rPr>
          <w:t>um</w:t>
        </w:r>
        <w:r w:rsidR="003E11B8" w:rsidRPr="003E11B8">
          <w:rPr>
            <w:rStyle w:val="a3"/>
            <w:rFonts w:ascii="Arial" w:hAnsi="Arial" w:cs="Arial"/>
            <w:sz w:val="24"/>
            <w:szCs w:val="24"/>
            <w:lang w:val="en-US"/>
          </w:rPr>
          <w:t>c</w:t>
        </w:r>
        <w:r w:rsidR="003E11B8" w:rsidRPr="004E7D7D">
          <w:rPr>
            <w:rStyle w:val="a3"/>
            <w:rFonts w:ascii="Arial" w:hAnsi="Arial" w:cs="Arial"/>
            <w:sz w:val="24"/>
            <w:szCs w:val="24"/>
          </w:rPr>
          <w:t>@</w:t>
        </w:r>
        <w:r w:rsidR="003E11B8" w:rsidRPr="004E7D7D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="003E11B8" w:rsidRPr="004E7D7D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0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5A6353">
        <w:rPr>
          <w:rFonts w:ascii="Arial" w:hAnsi="Arial" w:cs="Arial"/>
          <w:sz w:val="24"/>
          <w:szCs w:val="24"/>
        </w:rPr>
        <w:t>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скан-копию удостоверения о прохождения Вами ранее курсов в случае выбора курса по </w:t>
      </w:r>
      <w:proofErr w:type="spellStart"/>
      <w:r>
        <w:rPr>
          <w:rFonts w:ascii="Arial" w:hAnsi="Arial" w:cs="Arial"/>
          <w:sz w:val="24"/>
          <w:szCs w:val="24"/>
        </w:rPr>
        <w:t>проф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ереподготовке</w:t>
      </w:r>
      <w:proofErr w:type="spellEnd"/>
      <w:r>
        <w:rPr>
          <w:rFonts w:ascii="Arial" w:hAnsi="Arial" w:cs="Arial"/>
          <w:sz w:val="24"/>
          <w:szCs w:val="24"/>
        </w:rPr>
        <w:t xml:space="preserve"> (260, 520 час).</w:t>
      </w:r>
    </w:p>
    <w:p w:rsidR="005C17B2" w:rsidRPr="00FD37E2" w:rsidRDefault="005C17B2" w:rsidP="005C17B2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5C17B2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0"/>
    <w:multiLevelType w:val="hybridMultilevel"/>
    <w:tmpl w:val="64CE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2836"/>
    <w:multiLevelType w:val="hybridMultilevel"/>
    <w:tmpl w:val="94F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B38F6"/>
    <w:rsid w:val="000B5B2E"/>
    <w:rsid w:val="000D51A0"/>
    <w:rsid w:val="000E02F0"/>
    <w:rsid w:val="000E34CA"/>
    <w:rsid w:val="001139AE"/>
    <w:rsid w:val="00116796"/>
    <w:rsid w:val="00170497"/>
    <w:rsid w:val="00182608"/>
    <w:rsid w:val="00197606"/>
    <w:rsid w:val="001D1A31"/>
    <w:rsid w:val="001D58E5"/>
    <w:rsid w:val="001D637F"/>
    <w:rsid w:val="001E0D33"/>
    <w:rsid w:val="001F3623"/>
    <w:rsid w:val="00200F25"/>
    <w:rsid w:val="00225447"/>
    <w:rsid w:val="002264EC"/>
    <w:rsid w:val="002430F0"/>
    <w:rsid w:val="002B3187"/>
    <w:rsid w:val="002D0A6D"/>
    <w:rsid w:val="002D15C7"/>
    <w:rsid w:val="002D5DDE"/>
    <w:rsid w:val="00346B63"/>
    <w:rsid w:val="00395EF1"/>
    <w:rsid w:val="003D5ABC"/>
    <w:rsid w:val="003E11B8"/>
    <w:rsid w:val="003E5FD4"/>
    <w:rsid w:val="004148AD"/>
    <w:rsid w:val="0044186E"/>
    <w:rsid w:val="00465477"/>
    <w:rsid w:val="00494FD0"/>
    <w:rsid w:val="004A2FEC"/>
    <w:rsid w:val="004A6675"/>
    <w:rsid w:val="004B0A1C"/>
    <w:rsid w:val="004F23AB"/>
    <w:rsid w:val="00500C2E"/>
    <w:rsid w:val="00512EBA"/>
    <w:rsid w:val="005252F9"/>
    <w:rsid w:val="00535685"/>
    <w:rsid w:val="00535DCE"/>
    <w:rsid w:val="00554FA1"/>
    <w:rsid w:val="00556FA2"/>
    <w:rsid w:val="00565916"/>
    <w:rsid w:val="005A1D8B"/>
    <w:rsid w:val="005A6353"/>
    <w:rsid w:val="005C17B2"/>
    <w:rsid w:val="005D3792"/>
    <w:rsid w:val="006135BA"/>
    <w:rsid w:val="006549CD"/>
    <w:rsid w:val="00671E98"/>
    <w:rsid w:val="006803D0"/>
    <w:rsid w:val="006942B6"/>
    <w:rsid w:val="006A7AC8"/>
    <w:rsid w:val="006E4C19"/>
    <w:rsid w:val="00711B02"/>
    <w:rsid w:val="00741246"/>
    <w:rsid w:val="00746690"/>
    <w:rsid w:val="0076301A"/>
    <w:rsid w:val="00797012"/>
    <w:rsid w:val="007C2C9F"/>
    <w:rsid w:val="007C5FA5"/>
    <w:rsid w:val="007E1391"/>
    <w:rsid w:val="00823577"/>
    <w:rsid w:val="00865AB1"/>
    <w:rsid w:val="008C0649"/>
    <w:rsid w:val="00932A76"/>
    <w:rsid w:val="00957C70"/>
    <w:rsid w:val="009730EF"/>
    <w:rsid w:val="00974385"/>
    <w:rsid w:val="00996D54"/>
    <w:rsid w:val="009D7B3C"/>
    <w:rsid w:val="009F3AB6"/>
    <w:rsid w:val="00A23F36"/>
    <w:rsid w:val="00A27A5D"/>
    <w:rsid w:val="00A709A6"/>
    <w:rsid w:val="00A94F39"/>
    <w:rsid w:val="00AA3130"/>
    <w:rsid w:val="00AA5B75"/>
    <w:rsid w:val="00AC60C1"/>
    <w:rsid w:val="00B065A9"/>
    <w:rsid w:val="00B322AE"/>
    <w:rsid w:val="00B56825"/>
    <w:rsid w:val="00B60B52"/>
    <w:rsid w:val="00B90DE4"/>
    <w:rsid w:val="00B977E5"/>
    <w:rsid w:val="00BA324E"/>
    <w:rsid w:val="00BC63FD"/>
    <w:rsid w:val="00C22030"/>
    <w:rsid w:val="00C55022"/>
    <w:rsid w:val="00C761E0"/>
    <w:rsid w:val="00CA4CDA"/>
    <w:rsid w:val="00CC45F0"/>
    <w:rsid w:val="00CC46FA"/>
    <w:rsid w:val="00D01AAD"/>
    <w:rsid w:val="00D117F3"/>
    <w:rsid w:val="00D1389F"/>
    <w:rsid w:val="00D26D7E"/>
    <w:rsid w:val="00D71E20"/>
    <w:rsid w:val="00DB42EA"/>
    <w:rsid w:val="00DD51D8"/>
    <w:rsid w:val="00DE0D4B"/>
    <w:rsid w:val="00E032CF"/>
    <w:rsid w:val="00E260A9"/>
    <w:rsid w:val="00E34982"/>
    <w:rsid w:val="00E572CA"/>
    <w:rsid w:val="00E57A35"/>
    <w:rsid w:val="00E77F5C"/>
    <w:rsid w:val="00EA2E23"/>
    <w:rsid w:val="00EE47F4"/>
    <w:rsid w:val="00EF4A30"/>
    <w:rsid w:val="00F1472D"/>
    <w:rsid w:val="00F27570"/>
    <w:rsid w:val="00F456BD"/>
    <w:rsid w:val="00F647E2"/>
    <w:rsid w:val="00F72DA6"/>
    <w:rsid w:val="00F843E9"/>
    <w:rsid w:val="00F90EC1"/>
    <w:rsid w:val="00F96BCB"/>
    <w:rsid w:val="00F979CE"/>
    <w:rsid w:val="00FA6FD8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88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135</cp:revision>
  <dcterms:created xsi:type="dcterms:W3CDTF">2016-04-22T09:21:00Z</dcterms:created>
  <dcterms:modified xsi:type="dcterms:W3CDTF">2017-06-29T13:51:00Z</dcterms:modified>
</cp:coreProperties>
</file>